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rtl w:val="0"/>
        </w:rPr>
        <w:t xml:space="preserve">We Are Branson: What We Want i3 Schools to Know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Branson is a diverse group of teachers and students growing together.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Our focus is on providing 1st class educational opportunities for all of our students.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Branson is a HIGH-ACHIEVING district despite our high free and reduced lunch and transitory rates. Our teachers rock!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There’s lots of support and camaraderie amongst staff.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have a great staff and great kids.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Our English department is strong and cooperative, and we have so much administrative support.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have the following: a great working department in the high school; a fun community; a tourist community; a wide variety of students; a place that values veterans and religion--God and country; great outdoor activities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A lot of effort goes into making sure our kids have what they need to be successful.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are proud of the extreme dedication of our teachers and our relationships with kids.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are innovative and progressives. We lives in the music capital of the world with six million tourists annually. We are People NOT Programs, and we are not hicks and rednecks.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are not just shows and Silver Dollar City.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We are focused on relationships. It’s more than just about data!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In Branson, we are “a community committed to learning.” Our school mission statement is a succinct, simple, but powerful statement of who we are--all of us!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